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jc w:val="center"/>
        <w:rPr>
          <w:rFonts w:hint="eastAsia" w:ascii="Times New Roman" w:hAnsi="Times New Roman" w:eastAsia="宋体" w:cs="Times New Roman"/>
          <w:b/>
          <w:bCs/>
          <w:sz w:val="36"/>
          <w:szCs w:val="27"/>
        </w:rPr>
      </w:pPr>
      <w:r>
        <w:rPr>
          <w:rFonts w:hint="eastAsia" w:ascii="Times New Roman" w:hAnsi="Times New Roman" w:eastAsia="宋体" w:cs="Times New Roman"/>
          <w:b/>
          <w:bCs/>
          <w:sz w:val="36"/>
          <w:szCs w:val="27"/>
        </w:rPr>
        <w:t>大连交通大学学位论文答辩委员会秘书职责范围的规定</w:t>
      </w:r>
    </w:p>
    <w:p>
      <w:pPr>
        <w:pStyle w:val="6"/>
        <w:spacing w:before="0" w:beforeAutospacing="0" w:after="0" w:afterAutospacing="0" w:line="360" w:lineRule="auto"/>
        <w:jc w:val="center"/>
        <w:rPr>
          <w:rFonts w:ascii="Times New Roman" w:hAnsi="Times New Roman" w:eastAsia="宋体" w:cs="Times New Roman"/>
          <w:b/>
          <w:bCs/>
          <w:sz w:val="21"/>
          <w:szCs w:val="27"/>
        </w:rPr>
      </w:pPr>
    </w:p>
    <w:p>
      <w:pPr>
        <w:numPr>
          <w:ilvl w:val="0"/>
          <w:numId w:val="1"/>
        </w:numPr>
        <w:tabs>
          <w:tab w:val="left" w:pos="1260"/>
          <w:tab w:val="clear" w:pos="1695"/>
        </w:tabs>
        <w:spacing w:line="360" w:lineRule="auto"/>
        <w:ind w:left="0" w:firstLine="420"/>
        <w:rPr>
          <w:rFonts w:hint="eastAsia" w:ascii="黑体" w:hAnsi="宋体" w:eastAsia="黑体"/>
          <w:szCs w:val="21"/>
        </w:rPr>
      </w:pPr>
      <w:r>
        <w:rPr>
          <w:rFonts w:hint="eastAsia" w:ascii="宋体" w:hAnsi="宋体"/>
          <w:szCs w:val="21"/>
        </w:rPr>
        <w:t>根据《大连交通大学学位授予工作实施细则》的要求，每个学位论文答辩委员会应设1名秘书（以下简称答辩秘书）。主要协助本学科专业（研究方向）组织安排申请人的学位论文预答辩、评阅和答辩等工作，负责在此期间的学位申请人、指导教师与研究生</w:t>
      </w:r>
      <w:r>
        <w:rPr>
          <w:rFonts w:hint="eastAsia" w:ascii="宋体" w:hAnsi="宋体"/>
          <w:szCs w:val="21"/>
          <w:lang w:val="en-US" w:eastAsia="zh-CN"/>
        </w:rPr>
        <w:t>工作处</w:t>
      </w:r>
      <w:r>
        <w:rPr>
          <w:rFonts w:hint="eastAsia" w:ascii="宋体" w:hAnsi="宋体"/>
          <w:szCs w:val="21"/>
        </w:rPr>
        <w:t>之间有关工作的联系</w:t>
      </w:r>
      <w:r>
        <w:rPr>
          <w:rFonts w:hint="eastAsia" w:ascii="黑体" w:hAnsi="宋体" w:eastAsia="黑体"/>
          <w:szCs w:val="21"/>
        </w:rPr>
        <w:t>。</w:t>
      </w:r>
    </w:p>
    <w:p>
      <w:pPr>
        <w:numPr>
          <w:ilvl w:val="0"/>
          <w:numId w:val="1"/>
        </w:numPr>
        <w:tabs>
          <w:tab w:val="left" w:pos="1260"/>
          <w:tab w:val="clear" w:pos="1695"/>
        </w:tabs>
        <w:spacing w:line="360" w:lineRule="auto"/>
        <w:ind w:left="0" w:firstLine="420"/>
        <w:rPr>
          <w:rFonts w:hint="eastAsia" w:ascii="宋体" w:hAnsi="宋体" w:eastAsia="黑体"/>
          <w:szCs w:val="21"/>
        </w:rPr>
      </w:pPr>
      <w:r>
        <w:rPr>
          <w:rFonts w:hint="eastAsia" w:ascii="宋体" w:hAnsi="宋体"/>
          <w:szCs w:val="21"/>
        </w:rPr>
        <w:t>答辩秘书担负着为校学位评定委员会和学院学位评定分委员会审批授予学位提供原始基础材料的重要工作，因此，应选聘责任心强，文笔流畅，并具有一定教学、科研工作经验的人员担任。一般硕士学位论文的答辩秘书应由本专业具有硕士学位或中级以上（含中级）技术职称的人员担任。博士学位论文的答辩秘书应由本专业具有博士学位或副教授以上（含副教授）技术职称的人员担任。</w:t>
      </w:r>
    </w:p>
    <w:p>
      <w:pPr>
        <w:numPr>
          <w:ilvl w:val="0"/>
          <w:numId w:val="1"/>
        </w:numPr>
        <w:tabs>
          <w:tab w:val="left" w:pos="1260"/>
          <w:tab w:val="clear" w:pos="1695"/>
        </w:tabs>
        <w:spacing w:line="360" w:lineRule="auto"/>
        <w:ind w:left="0" w:firstLine="420"/>
        <w:rPr>
          <w:rFonts w:hint="eastAsia" w:eastAsia="黑体"/>
          <w:szCs w:val="21"/>
        </w:rPr>
      </w:pPr>
      <w:r>
        <w:rPr>
          <w:rFonts w:hint="eastAsia"/>
          <w:szCs w:val="21"/>
        </w:rPr>
        <w:t>答辩秘书一般由指导教师提名，报请学院学位评定分委员会批准，并提交到研究生</w:t>
      </w:r>
      <w:r>
        <w:rPr>
          <w:rFonts w:hint="eastAsia"/>
          <w:szCs w:val="21"/>
          <w:lang w:val="en-US" w:eastAsia="zh-CN"/>
        </w:rPr>
        <w:t>工作处</w:t>
      </w:r>
      <w:r>
        <w:rPr>
          <w:rFonts w:hint="eastAsia"/>
          <w:szCs w:val="21"/>
        </w:rPr>
        <w:t>备案。特殊情况下，也可由学院负责人或研究生</w:t>
      </w:r>
      <w:r>
        <w:rPr>
          <w:rFonts w:hint="eastAsia"/>
          <w:szCs w:val="21"/>
          <w:lang w:val="en-US" w:eastAsia="zh-CN"/>
        </w:rPr>
        <w:t>工作处</w:t>
      </w:r>
      <w:r>
        <w:rPr>
          <w:rFonts w:hint="eastAsia"/>
          <w:szCs w:val="21"/>
        </w:rPr>
        <w:t>委派。</w:t>
      </w:r>
    </w:p>
    <w:p>
      <w:pPr>
        <w:numPr>
          <w:ilvl w:val="0"/>
          <w:numId w:val="1"/>
        </w:numPr>
        <w:tabs>
          <w:tab w:val="left" w:pos="1260"/>
          <w:tab w:val="clear" w:pos="1695"/>
        </w:tabs>
        <w:spacing w:line="360" w:lineRule="auto"/>
        <w:ind w:left="0" w:firstLine="420"/>
        <w:rPr>
          <w:rFonts w:hint="eastAsia" w:eastAsia="黑体"/>
          <w:szCs w:val="21"/>
        </w:rPr>
      </w:pPr>
      <w:r>
        <w:rPr>
          <w:rFonts w:hint="eastAsia"/>
          <w:szCs w:val="21"/>
        </w:rPr>
        <w:t>答辩秘书职责范围</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答辩秘书至少应在学位申请人答辩前一个月与学位申请人和指导教师取得联系，并及时到研究生</w:t>
      </w:r>
      <w:r>
        <w:rPr>
          <w:rFonts w:hint="eastAsia" w:ascii="Times New Roman" w:hAnsi="Times New Roman" w:eastAsia="宋体" w:cs="Times New Roman"/>
          <w:sz w:val="21"/>
          <w:szCs w:val="21"/>
          <w:lang w:val="en-US" w:eastAsia="zh-CN"/>
        </w:rPr>
        <w:t>工作处</w:t>
      </w:r>
      <w:r>
        <w:rPr>
          <w:rFonts w:hint="eastAsia" w:ascii="Times New Roman" w:hAnsi="Times New Roman" w:eastAsia="宋体" w:cs="Times New Roman"/>
          <w:sz w:val="21"/>
          <w:szCs w:val="21"/>
        </w:rPr>
        <w:t>和学院办公室领取答辩所需的表格及相关材料或在研究生</w:t>
      </w:r>
      <w:r>
        <w:rPr>
          <w:rFonts w:hint="eastAsia" w:ascii="Times New Roman" w:hAnsi="Times New Roman" w:eastAsia="宋体" w:cs="Times New Roman"/>
          <w:sz w:val="21"/>
          <w:szCs w:val="21"/>
          <w:lang w:val="en-US" w:eastAsia="zh-CN"/>
        </w:rPr>
        <w:t>工作处</w:t>
      </w:r>
      <w:r>
        <w:rPr>
          <w:rFonts w:hint="eastAsia" w:ascii="Times New Roman" w:hAnsi="Times New Roman" w:eastAsia="宋体" w:cs="Times New Roman"/>
          <w:sz w:val="21"/>
          <w:szCs w:val="21"/>
        </w:rPr>
        <w:t>网上下载有关材料。</w:t>
      </w:r>
    </w:p>
    <w:p>
      <w:pPr>
        <w:pStyle w:val="2"/>
        <w:numPr>
          <w:ilvl w:val="1"/>
          <w:numId w:val="1"/>
        </w:numPr>
        <w:tabs>
          <w:tab w:val="left" w:pos="945"/>
          <w:tab w:val="clear" w:pos="1605"/>
        </w:tabs>
        <w:spacing w:before="0" w:beforeAutospacing="0" w:after="0" w:afterAutospacing="0" w:line="360" w:lineRule="auto"/>
        <w:ind w:left="0" w:firstLine="525"/>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学位申请人在通过学位论文预答辩后，答辩秘书负责填写《学位论文预答辩审查表》中“</w:t>
      </w:r>
      <w:bookmarkStart w:id="0" w:name="_GoBack"/>
      <w:bookmarkEnd w:id="0"/>
      <w:r>
        <w:rPr>
          <w:rFonts w:hint="eastAsia" w:ascii="Times New Roman" w:hAnsi="Times New Roman" w:eastAsia="宋体" w:cs="Times New Roman"/>
          <w:sz w:val="21"/>
          <w:szCs w:val="21"/>
        </w:rPr>
        <w:t>研究生指导教师及预答辩小组对论文的修改意见”和“研究生预答辩小组”成员名单，将其交学院办公室。</w:t>
      </w:r>
    </w:p>
    <w:p>
      <w:pPr>
        <w:pStyle w:val="2"/>
        <w:numPr>
          <w:ilvl w:val="1"/>
          <w:numId w:val="1"/>
        </w:numPr>
        <w:tabs>
          <w:tab w:val="left" w:pos="945"/>
          <w:tab w:val="clear" w:pos="1605"/>
        </w:tabs>
        <w:spacing w:before="0" w:beforeAutospacing="0" w:after="0" w:afterAutospacing="0" w:line="360" w:lineRule="auto"/>
        <w:ind w:left="0" w:firstLine="525"/>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评阅工作结束后，答辩秘书及时到学院办公室取回学位论文的评阅意见，评阅人如有修改或补充论文的要求，答辩秘书可将其意见转告学位申请人本人。另外由答辩秘书负责填写《学位申请书》中第2</w:t>
      </w:r>
      <w:r>
        <w:rPr>
          <w:rFonts w:ascii="Times New Roman" w:hAnsi="Times New Roman" w:eastAsia="宋体" w:cs="Times New Roman"/>
          <w:sz w:val="21"/>
          <w:szCs w:val="21"/>
        </w:rPr>
        <w:t>—</w:t>
      </w:r>
      <w:r>
        <w:rPr>
          <w:rFonts w:hint="eastAsia" w:ascii="Times New Roman" w:hAnsi="Times New Roman" w:eastAsia="宋体" w:cs="Times New Roman"/>
          <w:sz w:val="21"/>
          <w:szCs w:val="21"/>
        </w:rPr>
        <w:t>4页。</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color w:val="FF0000"/>
          <w:sz w:val="21"/>
          <w:szCs w:val="21"/>
        </w:rPr>
      </w:pPr>
      <w:r>
        <w:rPr>
          <w:rFonts w:hint="eastAsia" w:ascii="Times New Roman" w:hAnsi="Times New Roman" w:eastAsia="宋体" w:cs="Times New Roman"/>
          <w:sz w:val="21"/>
          <w:szCs w:val="21"/>
        </w:rPr>
        <w:t>答辩秘书须将论文修改情况及改进意见汇总后填入《学位论文答辩委员会审批表》中的“评阅意见汇总”中并签字，并负责填写“答辩委员会组成”等各项内容（一式两份），最后送交学科专业所在学院分委员会主席签字。</w:t>
      </w:r>
      <w:r>
        <w:rPr>
          <w:rFonts w:hint="eastAsia" w:ascii="Times New Roman" w:hAnsi="Times New Roman" w:eastAsia="宋体" w:cs="Times New Roman"/>
          <w:color w:val="FF0000"/>
          <w:sz w:val="21"/>
          <w:szCs w:val="21"/>
        </w:rPr>
        <w:t>答辩秘书持经审批过的《学位论文答辩委员会审批表》到学院办公室领取表决票、档案袋等材料。</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答辩秘书至少应于答辩前3天将申请人的学位论文送交到每一位答辩委员会委员手中。</w:t>
      </w:r>
    </w:p>
    <w:p>
      <w:pPr>
        <w:pStyle w:val="2"/>
        <w:numPr>
          <w:ilvl w:val="1"/>
          <w:numId w:val="1"/>
        </w:numPr>
        <w:tabs>
          <w:tab w:val="left" w:pos="945"/>
          <w:tab w:val="clear" w:pos="1605"/>
        </w:tabs>
        <w:spacing w:before="0" w:beforeAutospacing="0" w:after="0" w:afterAutospacing="0" w:line="360" w:lineRule="auto"/>
        <w:ind w:left="0" w:firstLine="525"/>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论文答辩开始前，答辩秘书须向答辩委员会提供以下材料：</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学位申请人的课程成绩单；</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学位申请书；</w:t>
      </w:r>
    </w:p>
    <w:p>
      <w:pPr>
        <w:numPr>
          <w:ilvl w:val="2"/>
          <w:numId w:val="1"/>
        </w:numPr>
        <w:tabs>
          <w:tab w:val="left" w:pos="-2730"/>
          <w:tab w:val="left" w:pos="1155"/>
          <w:tab w:val="clear" w:pos="1140"/>
        </w:tabs>
        <w:spacing w:line="360" w:lineRule="auto"/>
        <w:ind w:left="0" w:firstLine="540"/>
        <w:rPr>
          <w:rFonts w:hint="eastAsia"/>
          <w:szCs w:val="21"/>
        </w:rPr>
      </w:pPr>
      <w:r>
        <w:rPr>
          <w:szCs w:val="21"/>
        </w:rPr>
        <w:t>评阅人</w:t>
      </w:r>
      <w:r>
        <w:rPr>
          <w:rFonts w:hint="eastAsia"/>
          <w:szCs w:val="21"/>
        </w:rPr>
        <w:t>（校内、外）</w:t>
      </w:r>
      <w:r>
        <w:rPr>
          <w:szCs w:val="21"/>
        </w:rPr>
        <w:t>及</w:t>
      </w:r>
      <w:r>
        <w:rPr>
          <w:rFonts w:hint="eastAsia"/>
          <w:szCs w:val="21"/>
        </w:rPr>
        <w:t>指导教师对学位论文的学术评语；</w:t>
      </w:r>
    </w:p>
    <w:p>
      <w:pPr>
        <w:numPr>
          <w:ilvl w:val="2"/>
          <w:numId w:val="1"/>
        </w:numPr>
        <w:tabs>
          <w:tab w:val="left" w:pos="-2730"/>
          <w:tab w:val="left" w:pos="1155"/>
          <w:tab w:val="clear" w:pos="1140"/>
        </w:tabs>
        <w:spacing w:line="360" w:lineRule="auto"/>
        <w:ind w:left="0" w:firstLine="540"/>
        <w:rPr>
          <w:rFonts w:hint="eastAsia"/>
          <w:szCs w:val="21"/>
        </w:rPr>
      </w:pPr>
      <w:r>
        <w:rPr>
          <w:szCs w:val="21"/>
        </w:rPr>
        <w:t>学位论文答辩记录</w:t>
      </w:r>
      <w:r>
        <w:rPr>
          <w:rFonts w:hint="eastAsia"/>
          <w:szCs w:val="21"/>
        </w:rPr>
        <w:t>表；</w:t>
      </w:r>
    </w:p>
    <w:p>
      <w:pPr>
        <w:numPr>
          <w:ilvl w:val="2"/>
          <w:numId w:val="1"/>
        </w:numPr>
        <w:tabs>
          <w:tab w:val="left" w:pos="-2730"/>
          <w:tab w:val="left" w:pos="1155"/>
          <w:tab w:val="clear" w:pos="1140"/>
        </w:tabs>
        <w:spacing w:line="360" w:lineRule="auto"/>
        <w:ind w:left="0" w:firstLine="540"/>
        <w:rPr>
          <w:rFonts w:hint="eastAsia"/>
          <w:szCs w:val="21"/>
        </w:rPr>
      </w:pPr>
      <w:r>
        <w:rPr>
          <w:szCs w:val="21"/>
        </w:rPr>
        <w:t>学位论文</w:t>
      </w:r>
      <w:r>
        <w:rPr>
          <w:rFonts w:hint="eastAsia"/>
          <w:szCs w:val="21"/>
        </w:rPr>
        <w:t>答辩决议书；（草稿）</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学位论文预答辩审查表；</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学位论文答辩委员会审批表；</w:t>
      </w:r>
    </w:p>
    <w:p>
      <w:pPr>
        <w:numPr>
          <w:ilvl w:val="2"/>
          <w:numId w:val="1"/>
        </w:numPr>
        <w:tabs>
          <w:tab w:val="left" w:pos="-2730"/>
          <w:tab w:val="left" w:pos="1155"/>
          <w:tab w:val="clear" w:pos="1140"/>
        </w:tabs>
        <w:spacing w:line="360" w:lineRule="auto"/>
        <w:ind w:left="0" w:firstLine="540"/>
        <w:rPr>
          <w:rFonts w:hint="eastAsia"/>
          <w:szCs w:val="21"/>
        </w:rPr>
      </w:pPr>
      <w:r>
        <w:rPr>
          <w:rFonts w:hint="eastAsia"/>
          <w:szCs w:val="21"/>
        </w:rPr>
        <w:t>涉密学位论文申报表；</w:t>
      </w:r>
    </w:p>
    <w:p>
      <w:pPr>
        <w:numPr>
          <w:ilvl w:val="2"/>
          <w:numId w:val="1"/>
        </w:numPr>
        <w:tabs>
          <w:tab w:val="left" w:pos="-2730"/>
          <w:tab w:val="left" w:pos="1155"/>
          <w:tab w:val="left" w:pos="1260"/>
          <w:tab w:val="clear" w:pos="1140"/>
        </w:tabs>
        <w:spacing w:line="360" w:lineRule="auto"/>
        <w:ind w:left="0" w:firstLine="540"/>
        <w:rPr>
          <w:rFonts w:hint="eastAsia"/>
          <w:szCs w:val="21"/>
        </w:rPr>
      </w:pPr>
      <w:r>
        <w:rPr>
          <w:rFonts w:hint="eastAsia"/>
          <w:szCs w:val="21"/>
        </w:rPr>
        <w:t>计算机软件验收报告；</w:t>
      </w:r>
    </w:p>
    <w:p>
      <w:pPr>
        <w:numPr>
          <w:ilvl w:val="2"/>
          <w:numId w:val="1"/>
        </w:numPr>
        <w:tabs>
          <w:tab w:val="left" w:pos="-2730"/>
          <w:tab w:val="left" w:pos="1155"/>
          <w:tab w:val="left" w:pos="1260"/>
          <w:tab w:val="clear" w:pos="1140"/>
        </w:tabs>
        <w:spacing w:line="360" w:lineRule="auto"/>
        <w:ind w:left="0" w:firstLine="540"/>
        <w:rPr>
          <w:rFonts w:hint="eastAsia"/>
          <w:szCs w:val="21"/>
        </w:rPr>
      </w:pPr>
      <w:r>
        <w:rPr>
          <w:rFonts w:hint="eastAsia"/>
          <w:szCs w:val="21"/>
        </w:rPr>
        <w:t>学位论文独创性声明；</w:t>
      </w:r>
    </w:p>
    <w:p>
      <w:pPr>
        <w:numPr>
          <w:ilvl w:val="2"/>
          <w:numId w:val="1"/>
        </w:numPr>
        <w:tabs>
          <w:tab w:val="left" w:pos="-2730"/>
          <w:tab w:val="left" w:pos="1155"/>
          <w:tab w:val="left" w:pos="1260"/>
          <w:tab w:val="clear" w:pos="1140"/>
        </w:tabs>
        <w:spacing w:line="360" w:lineRule="auto"/>
        <w:ind w:left="0" w:firstLine="540"/>
        <w:rPr>
          <w:rFonts w:hint="eastAsia"/>
          <w:szCs w:val="21"/>
        </w:rPr>
      </w:pPr>
      <w:r>
        <w:rPr>
          <w:rFonts w:hint="eastAsia"/>
          <w:szCs w:val="21"/>
        </w:rPr>
        <w:t>学位论文版权使用授权书；</w:t>
      </w:r>
    </w:p>
    <w:p>
      <w:pPr>
        <w:numPr>
          <w:ilvl w:val="2"/>
          <w:numId w:val="1"/>
        </w:numPr>
        <w:tabs>
          <w:tab w:val="left" w:pos="-2730"/>
          <w:tab w:val="left" w:pos="1260"/>
        </w:tabs>
        <w:spacing w:line="360" w:lineRule="auto"/>
        <w:ind w:left="0" w:firstLine="540"/>
        <w:rPr>
          <w:rFonts w:hint="eastAsia"/>
          <w:szCs w:val="21"/>
        </w:rPr>
      </w:pPr>
      <w:r>
        <w:rPr>
          <w:rFonts w:hint="eastAsia"/>
          <w:szCs w:val="21"/>
        </w:rPr>
        <w:t>学位论文详细摘要；（若干份，分发给来宾）</w:t>
      </w:r>
    </w:p>
    <w:p>
      <w:pPr>
        <w:numPr>
          <w:ilvl w:val="2"/>
          <w:numId w:val="1"/>
        </w:numPr>
        <w:tabs>
          <w:tab w:val="left" w:pos="-2730"/>
          <w:tab w:val="left" w:pos="1260"/>
        </w:tabs>
        <w:spacing w:line="360" w:lineRule="auto"/>
        <w:ind w:left="0" w:firstLine="540"/>
        <w:rPr>
          <w:rFonts w:hint="eastAsia"/>
          <w:szCs w:val="21"/>
        </w:rPr>
      </w:pPr>
      <w:r>
        <w:rPr>
          <w:szCs w:val="21"/>
        </w:rPr>
        <w:t>学位论文答辩表决票</w:t>
      </w:r>
      <w:r>
        <w:rPr>
          <w:rFonts w:hint="eastAsia"/>
          <w:szCs w:val="21"/>
        </w:rPr>
        <w:t>；（5—7份）</w:t>
      </w:r>
    </w:p>
    <w:p>
      <w:pPr>
        <w:numPr>
          <w:ilvl w:val="2"/>
          <w:numId w:val="1"/>
        </w:numPr>
        <w:tabs>
          <w:tab w:val="left" w:pos="-2730"/>
          <w:tab w:val="left" w:pos="1260"/>
        </w:tabs>
        <w:spacing w:line="360" w:lineRule="auto"/>
        <w:ind w:left="0" w:firstLine="540"/>
        <w:rPr>
          <w:rFonts w:hint="eastAsia"/>
          <w:szCs w:val="21"/>
        </w:rPr>
      </w:pPr>
      <w:r>
        <w:rPr>
          <w:szCs w:val="21"/>
        </w:rPr>
        <w:t>学位论文答辩程序</w:t>
      </w:r>
      <w:r>
        <w:rPr>
          <w:rFonts w:hint="eastAsia"/>
          <w:szCs w:val="21"/>
        </w:rPr>
        <w:t>；</w:t>
      </w:r>
    </w:p>
    <w:p>
      <w:pPr>
        <w:tabs>
          <w:tab w:val="left" w:pos="1260"/>
        </w:tabs>
        <w:spacing w:line="360" w:lineRule="auto"/>
        <w:rPr>
          <w:szCs w:val="21"/>
        </w:rPr>
      </w:pP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论文答辩时，答辩秘书负责宣布答辩程序，并适时提醒指导教师回避；负责宣读指导教师和评阅人对学位论文的学术评语；负责做好记录工作，填写答辩记录时，须用黑色签字笔或钢笔，要求字迹清楚，实事求是地逐项详尽填写，以保证提交的答辩材料符合存档要求。应特别注意在审批表和决议书上需要签字的栏目中，请答辩委员会主席和委员当场签字。</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rPr>
      </w:pPr>
      <w:r>
        <w:rPr>
          <w:rFonts w:hint="eastAsia" w:ascii="Times New Roman" w:hAnsi="Times New Roman" w:eastAsia="宋体" w:cs="Times New Roman"/>
          <w:sz w:val="21"/>
        </w:rPr>
        <w:t>答辩结束后，答辩秘书须于三天内向学院提交答辩材料。</w:t>
      </w:r>
    </w:p>
    <w:p>
      <w:pPr>
        <w:pStyle w:val="2"/>
        <w:numPr>
          <w:ilvl w:val="1"/>
          <w:numId w:val="1"/>
        </w:numPr>
        <w:tabs>
          <w:tab w:val="left" w:pos="945"/>
          <w:tab w:val="clear" w:pos="1605"/>
        </w:tabs>
        <w:spacing w:before="0" w:beforeAutospacing="0" w:after="0" w:afterAutospacing="0" w:line="360" w:lineRule="auto"/>
        <w:ind w:left="0" w:firstLine="525"/>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研究生答辩后填写《毕业研究生登记表》一式两份，其中内容“学位答辩委员会决议”由答辩秘书填写并签字。</w:t>
      </w:r>
    </w:p>
    <w:p>
      <w:pPr>
        <w:spacing w:line="360" w:lineRule="auto"/>
        <w:ind w:firstLine="420"/>
        <w:jc w:val="righ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spacing w:line="360" w:lineRule="auto"/>
        <w:ind w:firstLine="4020" w:firstLineChars="1675"/>
        <w:jc w:val="left"/>
        <w:rPr>
          <w:rFonts w:hint="eastAsia"/>
          <w:sz w:val="24"/>
        </w:rPr>
      </w:pPr>
    </w:p>
    <w:p>
      <w:pPr>
        <w:pStyle w:val="3"/>
        <w:spacing w:line="360" w:lineRule="auto"/>
        <w:ind w:left="4620" w:leftChars="2200"/>
        <w:jc w:val="right"/>
        <w:rPr>
          <w:rFonts w:hint="eastAsia"/>
          <w:sz w:val="21"/>
          <w:szCs w:val="21"/>
        </w:rPr>
      </w:pPr>
    </w:p>
    <w:p>
      <w:pPr>
        <w:spacing w:line="360" w:lineRule="auto"/>
        <w:ind w:firstLine="4500" w:firstLineChars="1875"/>
        <w:jc w:val="left"/>
        <w:rPr>
          <w:rFonts w:hint="eastAsia"/>
          <w:sz w:val="24"/>
        </w:rPr>
      </w:pPr>
    </w:p>
    <w:p>
      <w:pPr>
        <w:spacing w:line="360" w:lineRule="auto"/>
        <w:ind w:firstLine="4500" w:firstLineChars="1875"/>
        <w:jc w:val="left"/>
        <w:rPr>
          <w:rFonts w:hint="eastAsia"/>
          <w:sz w:val="24"/>
        </w:rPr>
      </w:pPr>
    </w:p>
    <w:p>
      <w:pPr>
        <w:spacing w:line="360" w:lineRule="auto"/>
        <w:ind w:firstLine="4500" w:firstLineChars="1875"/>
        <w:jc w:val="left"/>
        <w:rPr>
          <w:rFonts w:hint="eastAsia"/>
          <w:sz w:val="24"/>
        </w:rPr>
      </w:pPr>
    </w:p>
    <w:p>
      <w:pPr>
        <w:spacing w:line="360" w:lineRule="auto"/>
        <w:ind w:firstLine="4500" w:firstLineChars="1875"/>
        <w:jc w:val="left"/>
        <w:rPr>
          <w:rFonts w:hint="eastAsia"/>
          <w:sz w:val="24"/>
        </w:rPr>
      </w:pPr>
    </w:p>
    <w:p>
      <w:pPr>
        <w:spacing w:line="360" w:lineRule="auto"/>
        <w:jc w:val="left"/>
        <w:rPr>
          <w:rFonts w:hint="eastAsia"/>
          <w:sz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9"/>
      </w:rPr>
      <w:fldChar w:fldCharType="begin"/>
    </w:r>
    <w:r>
      <w:rPr>
        <w:rStyle w:val="9"/>
      </w:rPr>
      <w:instrText xml:space="preserve"> PAGE </w:instrText>
    </w:r>
    <w:r>
      <w:rPr>
        <w:rStyle w:val="9"/>
      </w:rPr>
      <w:fldChar w:fldCharType="separate"/>
    </w:r>
    <w:r>
      <w:rPr>
        <w:rStyle w:val="9"/>
        <w:lang/>
      </w:rPr>
      <w:t>1</w:t>
    </w:r>
    <w:r>
      <w:rPr>
        <w:rStyle w:val="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A582F"/>
    <w:multiLevelType w:val="multilevel"/>
    <w:tmpl w:val="7ECA582F"/>
    <w:lvl w:ilvl="0" w:tentative="0">
      <w:start w:val="1"/>
      <w:numFmt w:val="japaneseCounting"/>
      <w:lvlText w:val="第%1条"/>
      <w:lvlJc w:val="left"/>
      <w:pPr>
        <w:tabs>
          <w:tab w:val="left" w:pos="1695"/>
        </w:tabs>
        <w:ind w:left="1695" w:hanging="1275"/>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JiMzQ2MWE5MTYzZjYyZGYwNzliOTI3YTIxM2QifQ=="/>
  </w:docVars>
  <w:rsids>
    <w:rsidRoot w:val="00FC7533"/>
    <w:rsid w:val="000123B0"/>
    <w:rsid w:val="000F479D"/>
    <w:rsid w:val="00171204"/>
    <w:rsid w:val="00174B77"/>
    <w:rsid w:val="001B6949"/>
    <w:rsid w:val="0031213D"/>
    <w:rsid w:val="00323D8E"/>
    <w:rsid w:val="004537C3"/>
    <w:rsid w:val="005248E1"/>
    <w:rsid w:val="00543B61"/>
    <w:rsid w:val="006737DE"/>
    <w:rsid w:val="00824160"/>
    <w:rsid w:val="00837945"/>
    <w:rsid w:val="008C179D"/>
    <w:rsid w:val="009861CC"/>
    <w:rsid w:val="009C69D9"/>
    <w:rsid w:val="00A064D2"/>
    <w:rsid w:val="00A47AF1"/>
    <w:rsid w:val="00A63240"/>
    <w:rsid w:val="00A925E2"/>
    <w:rsid w:val="00B61D91"/>
    <w:rsid w:val="00C048BD"/>
    <w:rsid w:val="00C30857"/>
    <w:rsid w:val="00CC0B65"/>
    <w:rsid w:val="00E27A02"/>
    <w:rsid w:val="00E54D5B"/>
    <w:rsid w:val="00E92829"/>
    <w:rsid w:val="00EF63F2"/>
    <w:rsid w:val="00FC7533"/>
    <w:rsid w:val="095E17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Plain Text"/>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
    <w:name w:val="Date"/>
    <w:basedOn w:val="1"/>
    <w:next w:val="1"/>
    <w:uiPriority w:val="0"/>
    <w:pPr>
      <w:ind w:left="100" w:leftChars="2500"/>
    </w:pPr>
    <w:rPr>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9">
    <w:name w:val="page number"/>
    <w:basedOn w:val="8"/>
    <w:uiPriority w:val="0"/>
  </w:style>
  <w:style w:type="character" w:styleId="10">
    <w:name w:val="FollowedHyperlink"/>
    <w:uiPriority w:val="0"/>
    <w:rPr>
      <w:color w:val="800080"/>
      <w:u w:val="single"/>
    </w:rPr>
  </w:style>
  <w:style w:type="character" w:styleId="11">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yjsb</Company>
  <Pages>2</Pages>
  <Words>194</Words>
  <Characters>1108</Characters>
  <Lines>9</Lines>
  <Paragraphs>2</Paragraphs>
  <TotalTime>1</TotalTime>
  <ScaleCrop>false</ScaleCrop>
  <LinksUpToDate>false</LinksUpToDate>
  <CharactersWithSpaces>1300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2023-11-14T09:35:00Z</dcterms:created>
  <dc:creator>xuli</dc:creator>
  <cp:lastModifiedBy>Administrator</cp:lastModifiedBy>
  <cp:lastPrinted>2007-10-31T00:40:00Z</cp:lastPrinted>
  <dcterms:modified xsi:type="dcterms:W3CDTF">2024-09-10T00:24:30Z</dcterms:modified>
  <dc:title>研究生论文答辩秘书职责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DE74455F82DC45E282AAD991F9ED32E7_13</vt:lpwstr>
  </property>
</Properties>
</file>